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BF" w:rsidRDefault="00985CBF" w:rsidP="00985CBF">
      <w:pPr>
        <w:pStyle w:val="hstyle0"/>
        <w:spacing w:line="312" w:lineRule="auto"/>
        <w:ind w:left="3816" w:hanging="3816"/>
        <w:jc w:val="center"/>
      </w:pPr>
      <w:r>
        <w:rPr>
          <w:rFonts w:ascii="한컴돋움" w:eastAsia="한컴돋움" w:hAnsi="한컴돋움" w:cs="한컴돋움" w:hint="eastAsia"/>
          <w:b/>
          <w:bCs/>
        </w:rPr>
        <w:t>형사사법공조에 관한 유럽 협약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전 문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이 협약에 서명하는 정부는 유럽평의회 회원국으로서,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유럽평의회의 목적이 회원국 간 보다 공고한 단합을 성취하는 것임을 고려하고,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형사사법공조 분야에 있어 공통의 규칙 채택이 이 목적을 달성하는 데에 기여할 것을 믿으며,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그러한 공조가 1957년 12월 13일 서명된 협약의 대상인 범죄인인도의 문제와 관련되어 있음을 고려하면서,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다음과 같이 합의하였다.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1 장 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일반 규정 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>제 1 조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체약당사국은 이 협약의 규정에 따라 공조요청 시 요청국의 사법당국이 처벌 권한을 가진 범죄와 관련된 형사절차에 있어 상호간에 가장 넓은 범위의 공조를 제공한다.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이 협약은 체포, 판결의 집행 또는 일반 형법 하에서는 범죄가 아닌 군법 상의 범죄에는 적용되지 아니한다.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2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공조는 다음의 경우에 거절될 수 있다. </w:t>
      </w:r>
    </w:p>
    <w:p w:rsidR="00985CBF" w:rsidRDefault="00985CBF" w:rsidP="00985CBF">
      <w:pPr>
        <w:pStyle w:val="hstyle0"/>
        <w:spacing w:line="312" w:lineRule="auto"/>
        <w:ind w:left="800" w:hanging="800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가.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피요청국이 정치적 범죄, 정치적 범죄와 관련된 범죄 또는 재정범죄로 간주하는 범죄와 관련된 공조요청의 경우</w:t>
      </w:r>
    </w:p>
    <w:p w:rsidR="00985CBF" w:rsidRDefault="00985CBF" w:rsidP="00985CBF">
      <w:pPr>
        <w:pStyle w:val="hstyle0"/>
        <w:spacing w:line="312" w:lineRule="auto"/>
        <w:ind w:left="800" w:hanging="800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나.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피요청국이 공조요청의 이행으로 인하여 국가의 주권ㆍ안보ㆍ공공질서 또는 그 밖의 본질적 이익이 침해된다고 </w:t>
      </w:r>
    </w:p>
    <w:p w:rsidR="00985CBF" w:rsidRDefault="00985CBF" w:rsidP="00985CBF">
      <w:pPr>
        <w:pStyle w:val="hstyle0"/>
        <w:spacing w:line="312" w:lineRule="auto"/>
        <w:ind w:left="800" w:hanging="800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간주하는 경우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2 장 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>의 뢰 서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3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lastRenderedPageBreak/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피요청국은 요청국의 사법당국이 증거수집, 증거로 제출될 물품이나 기록, 서류의 송부를 목적으로 하는 형사문제와 관련된 의뢰서를 보내오는 경우, 자국법에 규정된 방식에 따라 이를 집행한다.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요청국은 증인 또는 감정인이 선서 하에 증언하기를 희망하는 경우, 요청국은 이를 명시적으로 요구하여야 하며 피요청국은 자국법이 이를 금지하지 않는 한 요청을 수락한다.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요청국이 명시적으로 원본의 전송을 요청하지 않는 한, 피요청국은 요청된 기록이나 서류의 인증된 사본 또는 인증된 복사본을 전송할 수 있으며 이 경우 피요청국은 요청에 응하기 위한 모든 조치를 취한다.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4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요청국의 명시적인 요청이 있는 경우, 피요청국은 의뢰서 집행 일자와 장소를 통보한다. 피요청국의 동의가 있는 경우 공무원 및 관계자가 참여할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5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각 체약당사국은 이 협약의 서명 시나 비준서 또는 가입서 기탁 시 유럽평의회 사무총장에게 제출되는 선언에 따라 다음의 조건 중 하나 또는 그 이상의 조건에 따라 물건의 수색 또는 압수 의뢰서를 집행할 수 있는 권한을 보유할 수 있다.</w:t>
      </w:r>
    </w:p>
    <w:p w:rsidR="00985CBF" w:rsidRDefault="00985CBF" w:rsidP="00985CBF">
      <w:pPr>
        <w:pStyle w:val="hstyle0"/>
        <w:spacing w:line="312" w:lineRule="auto"/>
        <w:ind w:left="1200" w:hanging="1200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가.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의뢰서의 근거가 되는 범죄가 요청국 및 피요청국의 법에 의해 처벌 가능한 경우 </w:t>
      </w:r>
    </w:p>
    <w:p w:rsidR="00985CBF" w:rsidRDefault="00985CBF" w:rsidP="00985CBF">
      <w:pPr>
        <w:pStyle w:val="hstyle0"/>
        <w:spacing w:line="312" w:lineRule="auto"/>
        <w:ind w:left="1200" w:hanging="1200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나.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의뢰서의 근거가 되는 범죄가 피요청국에서 인도 가능한 범죄인 경우 </w:t>
      </w:r>
    </w:p>
    <w:p w:rsidR="00985CBF" w:rsidRDefault="00985CBF" w:rsidP="00985CBF">
      <w:pPr>
        <w:pStyle w:val="hstyle0"/>
        <w:spacing w:line="312" w:lineRule="auto"/>
        <w:ind w:left="1200" w:hanging="1200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다.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의뢰서의 집행이 피요청국의 법에 합치하는 경우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체약당사국이 이 조 제1항에 따라 선언한 경우, 다른 체약국은 상호주의를 적용할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6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피요청국은 자국에서 진행 중인 형사절차를 위하여 필요한 경우에는 요청대상인 물건, 기록 또는 서류의 인도를 연기할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피요청국이 반환요구를 하지 않는 경우를 제외하고 요청국은 의뢰서의 집행 과정에서 인도된 기록 또는 서류의 원본과 물건을 가능한 조속히 피요청국에 반환하여야 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3 장 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영장 및 재판 서류의 송달 - 증인, 감정인 및 피고인의 출석 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7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피요청국은 요청국으로부터 송부된 영장이나 재판서류를 송달한다. 송달은 송달수령인에게 영장이나 재판서류를 단순히 전달하는 것으로 이행된다. 요청국이 명시적으로 요청하는 경우, 송달은 피요청국 법에서 유사 서류의 송달에 대하여 규정하고 있는 방식 또는 그 법에 합치되는 특별한 방식으로 피요청국에 의하여 이행된다.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송달의 증명은 송달수령인의 서명과 일자가 기재된 수령서를 통하거나 송달의 형식과 일자를 통보하고 송달이 이루어졌음을 피요청국이 선언하는 방식으로 이루어진다. 하나 또는 그 이상의 서류가 즉시 요청국에 송부된다. 요청국이 요청하는 경우, 피요청국은 송달이 피요청국의 법에 따라 이루어졌는지 여부를 통보한다. 송달이 이루어질 수 없는 경우 피요청국은 그 사유를 요청국에 즉시 통보한다.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체약당사국은 이 협약의 서명 시나 비준서 또는 가입서의 기탁 시 유럽평의회 사무총장에게 제출되는 선언에 따라 자국의 영역 내에 있는 피고인에 대한 소환장이 출석일보다 일정기간 이전에 자국의 당국으로 송달될 것을 요구할 수 있다. 그 기간은 위 선언에 명시되나 50일을 초과하지 못하며, 출석일 확정 또는 소환장의 송부 시 고려되어야 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8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증인 또는 감정인이 자발적으로 요청국에 입국하고 요청국 내에서 다시 정식으로 소환받은 경우를 제외하고 증인 또는 감정인이 소환에 응하지 않은 경우, 소환장에 형벌을 부과한다는 규정이 있다 하더라도 어떠한 제재 또는 강제처분도 부과할 수 없다.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9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요청국이 증인 또는 감정인에게 체재비를 포함하여 지급할 수당 및 상환할 여행경비는 그 증인 또는 감정인의 거주지로부터 계산되며, 심리가 열리는 국가에서 유효한 기준에 규정된 요율과 최소한 동등한 것이어야 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10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요청국이 증인 또는 감정인의 사법당국에 대한 출석이 특별히 필요하다고 판단할 경우, 요청국은 그러한 내용을 소환장 송달 요청 시 언급하여야 하며 피요청국은 그 증인이나 감정인이 출석하도록 권유한다. 피요청국은 요청국에게 증인 또는 감정인의 답변을 통보한다.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 조 제1항에 따른 요청이나 소환의 경우에 있어 지급 가능한 대략의 수당 및 상환 가능한 여행경비 및 체제비가 명기되어야 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특별한 요청이 있는 경우, 피요청국은 증인이나 감정인에게 선금을 지불할 수 있다. 선금의 액수는 소환장에 기재되며 요청국에 의하여 상환된다.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11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증인으로서 또는 대질 목적으로 요청국이 직접출석을 신청한 피구금자는 적용 가능한 경우, 피요청국이 정한 기간 내에 재이송되고 제12조의 규정들이 적용되는 것을 조건으로 심리가 개최되는 영역으로 일시적으로 이송된다. 이송은 다음의 경우에 거절될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가.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피구금자가 동의하지 않는 경우 </w:t>
      </w:r>
    </w:p>
    <w:p w:rsidR="00985CBF" w:rsidRDefault="00985CBF" w:rsidP="00985CBF">
      <w:pPr>
        <w:pStyle w:val="hstyle0"/>
        <w:spacing w:line="312" w:lineRule="auto"/>
        <w:ind w:left="1230" w:hanging="1230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나.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피요청국의 영역 내에서 진행 중인 형사절차에 피구금자가 출석할 필요가 있는 경우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다.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이송에 의해 피구금자의 구금이 연장될 우려가 있는 경우 </w:t>
      </w:r>
    </w:p>
    <w:p w:rsidR="00985CBF" w:rsidRDefault="00985CBF" w:rsidP="00985CBF">
      <w:pPr>
        <w:pStyle w:val="hstyle0"/>
        <w:spacing w:line="312" w:lineRule="auto"/>
        <w:ind w:left="900" w:hanging="900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라.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요청국의 영역으로 그를 이송하지 않을 중대한 이유가 있는 경우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제2조에 따를 것을 전제로 전항에 해당하는 경우, 이 협약의 당사국인 제3국의 영역을 통한 피구금자의 이송은 요청국의 법무부가 통과국의 법무부에 모든 필요한 서류를 첨부하여 신청하는 경우 허용된다. 체약당사국은 자국민의 통과요청을 거절할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피이송자는 이송을 요청받은 당사국이 석방을 요청하지 않는 한, 요청국 영역 및 적용 가능할 경우 통과 요청된 당사국의 영역 내에서 구금된 상태를 유지한다.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12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국적을 불문하고 요청국 사법당국의 소환에 출석하는 증인 또는 감정인은 피요청국의 영역을 떠나기 전의 행위 또는 선고받은 유죄 판결에 대하여 요청국의 영역 내에서 기소되거나 구금되거나 그 밖의 개인적 자유에 대한 어떠한 제한을 받지 아니한다.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국적을 불문하고 재판절차의 대상이 되는 본인의 행위에 대하여 답변하기 위하여 요청국의 사법당국에 소환된 자는 소환장에 명시되지 않은 피요청국의 영역을 떠나기 전의 행위 또는 선고받은 유죄 판결에 대하여 기소되거나 구금되거나 그 밖의 개인적 자유에 대한 어떠한 제한도 받지 아니한다.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증인, 감정인 또는 피고인이 사법당국에 의하여 더 이상 출석이 필요하지 아니하여 출국기회가 있었음에도 15일 이내에 요청국을 떠나지 아니하였거나, 떠났다가 자발적으로 돌아온 때에는 위 조항은 적용되지 아니한다.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4 장 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재판 기록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13 조 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피요청국은 다른 체약당사국의 사법당국으로부터 형사사건의 필요에 따라 재판기록의 초본 및 재판기록에 관한 정보를 요청받은 경우 피요청국의 사법당국에 제공하는 것과 동일한 조건으로 이를 제공한다.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 조 제1항에 규정되지 아니한 경우, 그러한 요청은 피요청국의 법령 또는 관행에 의해 정해진 조건에 부합하여야 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5 장 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>절 차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14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공조요청서는 다음의 사항을 명시한다.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가.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공조를 요청하는 당국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나.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공조요청의 목적과 이유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다.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가능한 경우, 관련된 자의 신원 및 국적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라.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필요한 경우, 송달받을 자의 이름 및 주소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제3조, 제4조 및 제5조에서 언급된 의뢰서는, 이에 더하여, 해당범죄를 명시하고 범죄사실의 요약을 포함한다.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15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제3조, 제4조 및 제5조에 따른 의뢰서와 제11조에 따른 공조요청서는 요청국과 피요청국의 법무부 간에 송부되며 동일한 경로를 통하여 회신된다.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긴급한 경우, 의뢰서는 요청국의 사법당국에서 피요청국의 사법당국으로 직접 송부될 수 있다. 의뢰서는 이 조 제1항에 따른 경로를 통하여 관련 서류와 함께 회신된다.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제13조 제1항에 따른 공조요청은 관련 사법당국으로부터 피요청국의 적절한 기관으로 직접 송부될 수 있으며, 그 답변은 그러한 기관에 의하여 직접 회신될 수 있다. 제13조제2항에 따른 요청은 요청국의 법무부로부터 피요청국의 법무부로 송부된다.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4.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 조 제1항 및 제3항에 따른 경우를 제외한 공조요청 및 특히 기소 전 수사를 위한 공조요청은 사법당국 간 직접 송부할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5.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 협약에 의해 직접 송부가 허용되는 경우에는 국제형사경찰기구(인터폴)를 통해서도 송부가 가능하다.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6.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체약당사국은 이 협약의 서명 시, 비준서 또는 가입서 기탁 시 유럽평의회 사무총장에게 제출되는 선언에 따라 공조요청의 일부 또는 전부가 이 조에 규정된 경로 이외의 경로를 통하여 송부되어야 한다고 통보하거나, 이 조 제2항에 따를 경우, 의뢰서의 사본이 동시에 자국의 법무부로 송부될 것을 요구할 수 있다.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7.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이 조의 규정은 체약당사국 간에 유효한 양자조약이나 약정으로서, 체약당사국 사법당국 간 공조요청서의 직접송부를 규정하고 있는 다른 양자조약이나 약정을 침해하지 않는다.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16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 조 제2항에 따라 공조요청서 및 부속 문서의 번역문은 요구되지 아니한다.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체약당사국은 서명 시, 비준서 또는 가입서 기탁 시 유럽평의회 사무총장에게 제출되는 선언에 따라 공조요청서 및 부속문서가 체약당사국의 언어, 유럽평의회의 공식 언어 또는 공식 언어 중 체약당사국이 지정한 언어로 된 번역본과 함께 제출되어야 한다고 명시할 권리를 보유한다. 다른 체약당사국은 상호주의를 적용할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이 조는 둘 또는 그 이상의 체약당사국 간 존속하거나 체결될 협정 또는 약정에서 규정하고 있는 요청서 및 부속 문서의 번역에 관한 내용을 침해하지 않는다.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17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이 협약에 따라 송부된 증거 또는 기록은 어떠한 형태의 인증도 요구하지 아니한다.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>제 18 조</w:t>
      </w:r>
      <w:r>
        <w:rPr>
          <w:rFonts w:ascii="한컴돋움" w:eastAsia="한컴돋움" w:hAnsi="한컴돋움" w:cs="한컴돋움" w:hint="eastAsia"/>
        </w:rPr>
        <w:t xml:space="preserve">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공조요청을 받은 당국이 요청을 이행할 권한이 없는 때에는 직권으로 해당 요청을 자국의 권한 있는 당국에 이송하며, 이러한 사실은, 그 요청이 직접적인 경로로 송부된 경우에는 그러한 경로로, 요청국에게 통보된다.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19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공조요청 거절 시 그 이유를 통보한다.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20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피요청국 영역으로부터의 감정인 출석 또는 제11조에 따른 피구금자의 이송에 소요된 비용을 제외하고, 제10조제3항에 따라서 공조요청 이행에 관련된 비용은 상환되지 아니한다.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6 장 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>재판절차와 관련된 정보의 제출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21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제15조제6항에 따른 특별한 사전선언이 없는 한, 다른 당사국 법원에서의 재판절차 진행을 위하여 어느 한쪽 체약당사국에 의하여 제출된 정보는 관련 법무부간 송부된다.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lastRenderedPageBreak/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피요청국은 요청국에게 그러한 정보에 따라 취하여진 조치에 대하여 통보하고, 그 결정서의 사본을 송부하여야 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제16조는 이 조 제1항에 따라 제출된 정보에 적용된다. 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>제 7 장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>재판기록에 대한 정보의 교환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22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각 체약당사국은 타방 당사국에게 그 나라의 재판기록에 포함되어 있는 해당 당사국의 국민과 관련된 모든 형사 유죄 판결의 선고와 그에 따른 후속 조치를 통보한다. 각 법무부는 최소 1년에 1회 이상 위와 같은 정보를 교환한다. 유죄선고를 받은 자가 둘 또는 그 이상의 체약당사국 국민으로 간주되는 경우, 그러한 정보는 각각의 체약당사국에게 제공되나 그가 유죄선고를 받은 영역 국가의 국민인 경우에는 그러하지 아니하다.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8 장 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최종 조항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23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모든 체약당사국은 이 협약의 서명, 비준서 또는 가입서 기탁 시 이 협약의 특정 규정에 대하여 유보를 행할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유보를 한 체약당사국은 사정이 허락하는 경우, 즉시 그 유보를 철회한다.그러한 철회는 유럽평의회 사무총장 앞으로 통보함으로써 이루어진다.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이 협약의 규정에 대하여 유보를 한 체약당사국은 자국이 해당 규정을 수락한 경우를 제외하고는 다른 당사국에 대하여 해당 규정을 적용할 것을 주장할 수 없다.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24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체약당사국은 이 협약의 서명 또는 비준서나 가입서 기탁 시 유럽평의회 사무총장에게 제출되는 선언에 따라 어떤 기관을 이 협약에서 의미하는 사법당국으로 볼 것인지 규정할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25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 협약은 체약당사국의 본국 영역에 적용된다.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프랑스에 대하여 이 협약은 알제리 및 국외 소재의 현에도 적용되며, 이탈리아에 대하여 이 협약은 이탈리아 통치 하의 소말릴란드 영역에도 적용된다.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독일연방공화국은 유럽평의회 사무총장에게 통보함으로써 베를린주까지 이 협약의 적용을 확대할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4.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네덜란드왕국에 대하여 이 협약은 그 유럽영역에 적용된다. 네덜란드는 유럽평의회 사무총장에게 통보함으로써 네덜란드령 앤틸리스 제도, 수리남 및 네덜란드령 뉴기니까지 이 협약의 적용을 확대할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5.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둘 또는 그 이상의 체약당사국 간 직접적인 약정에서 규정된 조건에 따라 이 협약의 적용은 이 조 제1항, 제2항, 제3항 및 제4항에 언급된 영역 이외에 위 체약당사국 중 하나가 외교를 책임지는 영역으로까지 확대될 수 있다.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26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제15조제7항 및 제16조제3항에 따라, 이 협약은 협약이 적용되는 국가들에 대하여 양 체약당사국 간 형사공조를 규율하는 어떠한 조약, 협약 또는 양자협정의 규정에도 우선한다.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 협약은 특정한 분야에 있어서의 특정한 사항에 관한 형사사법공조를 규율하는 그 밖의 양자 또는 다자 국제협약의 규정에 따라 발생된 의무에 영향을 미치지 아니한다.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체약당사국은 이 협약의 규정을 보충하거나 이 협약에 포함된 원칙들의 적용을 촉진하기 위한 목적으로만 형사공조에 관한 체약당사국 간 양자 또는 다자 협약을 체결할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4.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둘 또는 그 이상의 체약당사국 간의 형사공조가 통일된 입법 또는 그들 각각의 영역에서 형사공조 조치의 상호 적용을 제공하는 특별한 체계의 기초 위에서 행해지고 있는 경우, 해당 당사국들은 이 협약의 규정에도 불구하고 이 분야에서 그러한 입법 또는 체계에 따라 그들의 상호관계를 배타적으로 자유로이 규제할 수 있다. 이 조항에 따라 그들 간에 이 협약의 적용을 배제하는 체약당사국들은 이를 유럽평의회 사무총장에게 통보한다.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27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 협약은 유럽평의회 회원국에 대하여 서명을 위하여 개방된다. 이 협약은 비준되어야 한다. 비준서는 유럽평의회 사무총장에게 기탁된다.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 협약은 세 번째 비준서의 기탁일부터 90일 후에 발효된다.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 협약은 이후 이를 비준한 서명국에 대하여 비준서의 기탁일부터 90일 후에 발효된다.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28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유럽평의회 각료이사회는 초청을 내용으로 하는 결의가 이 협약을 비준한 유럽평의회 회원국들의 만장일치의 동의를 얻는 경우, 회원국이 아닌 국가의 협약 가입을 초청할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가입은 유럽평의회 사무총장에게 가입서를 기탁함으로써 이루어지며 기탁일부터 90일 후에 발효된다.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29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체약당사국은 유럽평의회 사무총장에게 통보함으로써 자국에 관한 한 이 협약을 폐기할 수 있다. 폐기는 유럽평의회 사무총장이 통보를 받은 날부터 6개월 후에 발효된다.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30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유럽평의회 사무총장은 다음 각 호의 사항을 유럽평의회 회원국과 이 협약 가입국의 정부에 통보한다.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가.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서명국 및 가입서 또는 비준서의 기탁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나.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 협약의 발효일 </w:t>
      </w:r>
    </w:p>
    <w:p w:rsidR="00985CBF" w:rsidRDefault="00985CBF" w:rsidP="00985CBF">
      <w:pPr>
        <w:pStyle w:val="hstyle0"/>
        <w:spacing w:line="312" w:lineRule="auto"/>
        <w:ind w:left="1200" w:hanging="1200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다.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제5조제1항, 제7조제3항, 제15조제6항, 제16조제2항, 제24조, 제25조제3항 및 제4항, 제26조제4항에 따라 접수된 </w:t>
      </w:r>
    </w:p>
    <w:p w:rsidR="00985CBF" w:rsidRDefault="00985CBF" w:rsidP="00985CBF">
      <w:pPr>
        <w:pStyle w:val="hstyle0"/>
        <w:spacing w:line="312" w:lineRule="auto"/>
        <w:ind w:left="1200" w:hanging="1200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모든 통보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라.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제23조제1항에 따른 유보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마.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제23조제2항에 따른 유보의 철회 </w:t>
      </w:r>
    </w:p>
    <w:p w:rsidR="00985CBF" w:rsidRDefault="00985CBF" w:rsidP="00985CBF">
      <w:pPr>
        <w:pStyle w:val="hstyle0"/>
        <w:spacing w:line="312" w:lineRule="auto"/>
        <w:ind w:left="1226" w:hanging="1226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바.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제29조에 따라 접수된 폐기 통보 및 그 폐기의 발효일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이상의 증거로, 아래 서명자들은 정당하게 권한을 위임받아 이 협약에 서명하였다.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1959년 4월 20일 스트라스부르에서 동등한 정본인 영어와 프랑스어로 각 1부가 작성되었으며, 이 협약 정본은 유럽평의회 기록보관소에 기탁된다. 유럽평의회 사무총장은 인증된 사본을 서명국 정부 및 가입국 정부에 송부한다.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형사사법공조에 관한 유럽 협약 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>추가의정서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이 의정서에 서명한 유럽평의회 회원국 정부는,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lastRenderedPageBreak/>
        <w:t>재정범죄 분야에서 1959년 4월 20일 스트라스부르에서 서명을 위하여 개방된 형사사법공조에 관한 유럽협약(이하 “협약”이라 한다)의 적용을 촉진하기를 희망하고,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그 밖의 특정 사안에서 협약을 보충하는 것이 또한 바람직함을 고려하여,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다음과 같이 합의하였다.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1 장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1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체약당사국은 공조요청이 피요청국이 재정범죄로 간주하는 범죄와 관련된 것이라는 이유만으로 공조요청을 거절하기 위하여 이 협약 제2조 가호에 규정된 권리를 행사하지 아니한다.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2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어느 체약당사국이 의뢰서의 근거가 된 범죄가 요청국 및 피요청국의 법에 의해서 모두 처벌 가능하다는 조건에 따라 물건의 수색 및 압수를 위한 의뢰서를 집행하는 경우, 재정범죄에 관하여 이러한 조건은 해당 범죄가 요청국의 법에서 처벌 가능하고 피요청국의 법에 따라 같은 성질의 범죄에 상응하는 경우에 충족된다.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공조요청은 피요청국의 법이 요청국의 법과 같은 종류의 조세 또는 관세를 부과하지 않거나 같은 종류의 조세, 관세 및 외국환 관리 규정을 포함하고 있지 않다는 이유만으로 거절할 수 없다.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2 장 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3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이 협약은 또한 다음 각 호의 사항에도 적용된다. </w:t>
      </w:r>
    </w:p>
    <w:p w:rsidR="00985CBF" w:rsidRDefault="00985CBF" w:rsidP="00985CBF">
      <w:pPr>
        <w:pStyle w:val="hstyle0"/>
        <w:spacing w:line="312" w:lineRule="auto"/>
        <w:ind w:left="1200" w:hanging="1200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가.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형의 집행, 벌금의 징수 또는 재판절차 비용의 지불에 관한 서류의 송달 </w:t>
      </w:r>
    </w:p>
    <w:p w:rsidR="00985CBF" w:rsidRDefault="00985CBF" w:rsidP="00985CBF">
      <w:pPr>
        <w:pStyle w:val="hstyle0"/>
        <w:spacing w:line="312" w:lineRule="auto"/>
        <w:ind w:left="1200" w:hanging="1200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나.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형의 선고유예 또는 집행유예, 조건부 석방, 형 집행 개시의 연기 또는 그러한 집행의 중단에 관한 조치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3 장 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4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이 협약 제22조는 다음의 내용에 의하여 보충되며 본래의 협약 제22조는 제1항이 되고 아래의 규정은 제2항이 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lastRenderedPageBreak/>
        <w:t>“2. 더욱이 상기 언급된 정보를 제공한 체약당사국은 관련국에게 개별사안에 있어 관련국의 요청에 따라 관련국이 국가 차원의 조치가 필요한지 숙고할 수 있도록 형사 유죄 판결 및 후속 조치의 사본, 그 외 관련 정보를 제공한다. 필요한 정보 제공은 해당국 법무부 간에 이루어진다.”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4 장 </w:t>
      </w: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5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 의정서는 협약에 서명한 유럽평의회 회원국들에게 서명을 위하여 개방된다. 이 의정서는 비준, 수락 또는 승인을 받아야 한다. 비준서, 수락서 또는 승인서는 유럽평의회 사무총장에게 기탁된다.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 의정서는 비준서, 수락서 또는 승인서 중 세 번째 문서의 기탁일부터 90일 후에 발효된다.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이후 비준, 수락 또는 승인한 서명국에 관하여 의정서는 비준서, 수락서 또는 승인서의 기탁일부터 90일 후에 발효된다.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4.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유럽평의회 회원국은 사전에 또는 동시에 이 협약을 비준하지 않은 경우, 이 의정서를 비준, 수락 또는 승인할 수 없다.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6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협약 가입국은 의정서 발효 이후 이 의정서에 가입할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의정서 가입은 유럽평의회 사무총장에게 가입서를 기탁함으로써 이루어지며 가입서는 기탁일부터 90일 후에 발효된다.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7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어떠한 국가도 서명 또는 비준서, 수락서, 승인서 또는 가입서 기탁시 이 의정서가 적용될 영역을 명기할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어떠한 국가도 서명 또는 비준서, 수락서, 승인서 또는 가입서 기탁시나 이후 어느 때라도 유럽평의회 사무총장에게 선언서를 제출함으로써, 해당 당사국이 선언서를 통해 명시한 영역으로서 그 당사국이 외교를 책임지는 영역 또는 그 당사국이 대신하여 의무를 질 수 있도록 권한이 부여된 영역으로까지 의정서의 적용을 확대할 수 있다.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전항에 따라 이루어진 영역과 관련된 어떠한 선언도 유럽평의회 사무총장에게 통보함으로써 철회될 수 있다. 그러한 철회는 유럽평의회 사무총장의 통보 접수일부터 6개월 후에 발효된다.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lastRenderedPageBreak/>
        <w:t xml:space="preserve">제 8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체약당사국이 서명 또는 비준서, 수락서, 승인서 또는 가입서 기탁 시에 달리 선언한 경우를 제외하고 협약의 규정에 대해 이루어진 유보는 의정서에 대하여도 적용된다. 이 협약 제24조에 의하여 이루어진 선언에 있어서도 동일하게 적용된다.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어떠한 국가도 서명 또는 비준서, 수락서, 승인서 또는 가입서 기탁시 다음의 권리를 보유함을 선언할 수 있다. </w:t>
      </w:r>
    </w:p>
    <w:p w:rsidR="00985CBF" w:rsidRDefault="00985CBF" w:rsidP="00985CBF">
      <w:pPr>
        <w:pStyle w:val="hstyle0"/>
        <w:spacing w:line="312" w:lineRule="auto"/>
        <w:ind w:left="1240" w:hanging="1240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가.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제1장을 수락하지 않을 권리 또는 제1조에 언급된 특정 범죄나 특정 범주의 범죄에 관하여서만 제1장을 수락할 </w:t>
      </w:r>
    </w:p>
    <w:p w:rsidR="00985CBF" w:rsidRDefault="00985CBF" w:rsidP="00985CBF">
      <w:pPr>
        <w:pStyle w:val="hstyle0"/>
        <w:spacing w:line="312" w:lineRule="auto"/>
        <w:ind w:left="1240" w:hanging="1240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권리 또는 재정범죄에 관하여 물건의 수색 또는 압수를 위한 의뢰서에 응하지 않을 권리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나.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제2장을 수락하지 않을 권리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다.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제3장을 수락하지 않을 권리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체약당사국은 전항에 따라 이루어진 선언을 유럽평의회 사무총장에 대한 선언을 통하여 철회할 수 있고 그러한 철회는 접수일부터 발효한다.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4.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의정서 규정을 유보하거나 협약 규정에 대한 유보를 의정서에 적용한 체약당사국은 다른 체약당사국이 해당 규정을 적용하도록 주장할 수 없다. 하지만, 그러한 유보가 부분적이거나 조건적인 경우, 체약당사국이 수락한 범위 내에서 해당 규정의 적용을 주장할 수 있다.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5.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이 의정서의 규정에 대하여 그 밖의 유보는 할 수 없다.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9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이 의정서의 규정은 이 협약 제26조제3항의 적용에 있어 체약당사국 간 체결된 양자 또는 다자 협정에 있는 보다 광범위한 규정의 적용을 침해하지 아니한다.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10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유럽평의회의 범죄문제에 관한 유럽이사회는 이 의정서의 적용에 관하여 지속적으로 통보를 받으며 의정서 이행 과정에서 발생할 수 있는 문제점을 원활히 해결하기 위하여 필요한 모든 조치를 취한다.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11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1.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체약당사국은 유럽평의회 사무총장에게 통보함으로써 자국에 관한 한 이 의정서를 폐기할 수 있다.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2.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폐기는 사무총장이 통보를 접수한 날부터 6개월 후에 발효된다.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lastRenderedPageBreak/>
        <w:t>3.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>협약 폐기 시 이 의정서도 자동적으로 폐기된다.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jc w:val="center"/>
        <w:rPr>
          <w:rFonts w:hint="eastAsia"/>
        </w:rPr>
      </w:pPr>
      <w:r>
        <w:rPr>
          <w:rFonts w:ascii="한컴돋움" w:eastAsia="한컴돋움" w:hAnsi="한컴돋움" w:cs="한컴돋움" w:hint="eastAsia"/>
          <w:b/>
          <w:bCs/>
        </w:rPr>
        <w:t xml:space="preserve">제 12 조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유럽평의회 사무총장은 다음 각 호의 사항을 유럽평의회 회원국과 이 협약 가입국에게 통보한다.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가.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이 의정서의 서명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나.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비준서, 수락서, 승인서 또는 가입서의 기탁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다.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제5조 및 제6조에 따른 이 의정서의 발효일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라.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제7조제2항 및 제3항에 따라 접수된 모든 선언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마.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제8조제1항에 따라 접수된 모든 선언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바.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제8조제2항에 따른 모든 유보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사.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제8조제3항에 따라 이행된 모든 유보의 철회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아.</w:t>
      </w:r>
      <w:r>
        <w:rPr>
          <w:rFonts w:cs="한컴돋움" w:hint="eastAsia"/>
        </w:rPr>
        <w:t xml:space="preserve"> </w:t>
      </w:r>
      <w:r>
        <w:rPr>
          <w:rFonts w:ascii="한컴돋움" w:eastAsia="한컴돋움" w:hAnsi="한컴돋움" w:cs="한컴돋움" w:hint="eastAsia"/>
        </w:rPr>
        <w:t xml:space="preserve">제11조에 따라 접수된 모든 통보와 폐기의 발효일 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>이상의 증거로, 아래 서명자들은 정당하게 권한을 위임받아 이 의정서에 서명하였다.</w:t>
      </w: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</w:p>
    <w:p w:rsidR="00985CBF" w:rsidRDefault="00985CBF" w:rsidP="00985CBF">
      <w:pPr>
        <w:pStyle w:val="hstyle0"/>
        <w:spacing w:line="312" w:lineRule="auto"/>
        <w:rPr>
          <w:rFonts w:hint="eastAsia"/>
        </w:rPr>
      </w:pPr>
      <w:r>
        <w:rPr>
          <w:rFonts w:ascii="한컴돋움" w:eastAsia="한컴돋움" w:hAnsi="한컴돋움" w:cs="한컴돋움" w:hint="eastAsia"/>
        </w:rPr>
        <w:t xml:space="preserve">1978년 3월 17일 스트라스부르에서 동등한 정본인 영어와 프랑스어로 각 1부가 작성되었으며, 의정서의 정본은 유럽평의회 기록보관소에 기탁된다. 유럽평의회 사무총장은 인증된 사본을 서명국 및 가입국에 송부한다. </w:t>
      </w:r>
    </w:p>
    <w:p w:rsidR="00B16AEC" w:rsidRDefault="00B16AEC">
      <w:bookmarkStart w:id="0" w:name="_GoBack"/>
      <w:bookmarkEnd w:id="0"/>
    </w:p>
    <w:sectPr w:rsidR="00B16AEC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BF"/>
    <w:rsid w:val="000A043C"/>
    <w:rsid w:val="007A1A1E"/>
    <w:rsid w:val="00985CBF"/>
    <w:rsid w:val="00B1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985CBF"/>
    <w:pPr>
      <w:spacing w:after="0" w:line="384" w:lineRule="auto"/>
    </w:pPr>
    <w:rPr>
      <w:rFonts w:ascii="굴림" w:eastAsia="굴림" w:hAnsi="굴림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985CBF"/>
    <w:pPr>
      <w:spacing w:after="0" w:line="384" w:lineRule="auto"/>
    </w:pPr>
    <w:rPr>
      <w:rFonts w:ascii="굴림" w:eastAsia="굴림" w:hAnsi="굴림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2012-07-27T09:08:00Z</dcterms:created>
  <dcterms:modified xsi:type="dcterms:W3CDTF">2012-07-27T09:08:00Z</dcterms:modified>
</cp:coreProperties>
</file>