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F7" w:rsidRPr="00B81FF7" w:rsidRDefault="00B81FF7" w:rsidP="00B81FF7">
      <w:pPr>
        <w:rPr>
          <w:b/>
          <w:bCs/>
        </w:rPr>
      </w:pPr>
      <w:r w:rsidRPr="00B81FF7">
        <w:rPr>
          <w:rFonts w:ascii="바탕" w:eastAsia="바탕" w:hAnsi="바탕" w:cs="바탕" w:hint="eastAsia"/>
          <w:b/>
          <w:bCs/>
        </w:rPr>
        <w:t>韓國言論學報</w:t>
      </w:r>
      <w:r w:rsidRPr="00B81FF7">
        <w:rPr>
          <w:rFonts w:hint="eastAsia"/>
          <w:b/>
          <w:bCs/>
        </w:rPr>
        <w:t xml:space="preserve"> 제50권 1호, 2006.2, 221-251 </w:t>
      </w:r>
    </w:p>
    <w:p w:rsidR="00B81FF7" w:rsidRPr="00B81FF7" w:rsidRDefault="00B81FF7" w:rsidP="00B81FF7">
      <w:pPr>
        <w:jc w:val="center"/>
        <w:rPr>
          <w:rFonts w:hint="eastAsia"/>
          <w:b/>
          <w:bCs/>
        </w:rPr>
      </w:pPr>
      <w:r w:rsidRPr="00B81FF7">
        <w:rPr>
          <w:rFonts w:hint="eastAsia"/>
          <w:b/>
          <w:bCs/>
        </w:rPr>
        <w:t>1920년대 일제 ‘문화정치’ 시기의 법치적 언론통제의 폭압적 성격에 대한 재조명</w:t>
      </w:r>
      <w:r w:rsidRPr="00B81FF7">
        <w:rPr>
          <w:b/>
          <w:bCs/>
        </w:rPr>
        <w:drawing>
          <wp:inline distT="0" distB="0" distL="0" distR="0">
            <wp:extent cx="103505" cy="146685"/>
            <wp:effectExtent l="19050" t="0" r="0" b="0"/>
            <wp:docPr id="16" name="그림 16" descr="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bile"/>
                    <pic:cNvPicPr>
                      <a:picLocks noChangeAspect="1" noChangeArrowheads="1"/>
                    </pic:cNvPicPr>
                  </pic:nvPicPr>
                  <pic:blipFill>
                    <a:blip r:embed="rId5"/>
                    <a:srcRect/>
                    <a:stretch>
                      <a:fillRect/>
                    </a:stretch>
                  </pic:blipFill>
                  <pic:spPr bwMode="auto">
                    <a:xfrm>
                      <a:off x="0" y="0"/>
                      <a:ext cx="103505" cy="146685"/>
                    </a:xfrm>
                    <a:prstGeom prst="rect">
                      <a:avLst/>
                    </a:prstGeom>
                    <a:noFill/>
                    <a:ln w="9525">
                      <a:noFill/>
                      <a:miter lim="800000"/>
                      <a:headEnd/>
                      <a:tailEnd/>
                    </a:ln>
                  </pic:spPr>
                </pic:pic>
              </a:graphicData>
            </a:graphic>
          </wp:inline>
        </w:drawing>
      </w:r>
    </w:p>
    <w:p w:rsidR="00B81FF7" w:rsidRPr="00B81FF7" w:rsidRDefault="00B81FF7" w:rsidP="00B81FF7">
      <w:pPr>
        <w:jc w:val="center"/>
        <w:rPr>
          <w:rFonts w:hint="eastAsia"/>
        </w:rPr>
      </w:pPr>
      <w:r w:rsidRPr="00B81FF7">
        <w:rPr>
          <w:rFonts w:hint="eastAsia"/>
        </w:rPr>
        <w:t>A Critical Review on the Authoritarian Press Control by the Press-related-rules in the 1920s</w:t>
      </w:r>
    </w:p>
    <w:p w:rsidR="00B81FF7" w:rsidRPr="00B81FF7" w:rsidRDefault="00B81FF7" w:rsidP="00B81FF7">
      <w:pPr>
        <w:jc w:val="center"/>
        <w:rPr>
          <w:rFonts w:hint="eastAsia"/>
        </w:rPr>
      </w:pPr>
      <w:hyperlink r:id="rId6" w:history="1">
        <w:r w:rsidRPr="00B81FF7">
          <w:rPr>
            <w:rStyle w:val="a3"/>
            <w:rFonts w:hint="eastAsia"/>
          </w:rPr>
          <w:t xml:space="preserve">이재진 </w:t>
        </w:r>
        <w:r w:rsidRPr="00B81FF7">
          <w:rPr>
            <w:rStyle w:val="a3"/>
          </w:rPr>
          <w:drawing>
            <wp:inline distT="0" distB="0" distL="0" distR="0">
              <wp:extent cx="172720" cy="94615"/>
              <wp:effectExtent l="19050" t="0" r="0" b="0"/>
              <wp:docPr id="17" name="그림 17" descr="식별된 저자">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식별된 저자">
                        <a:hlinkClick r:id="rId7"/>
                      </pic:cNvPr>
                      <pic:cNvPicPr>
                        <a:picLocks noChangeAspect="1" noChangeArrowheads="1"/>
                      </pic:cNvPicPr>
                    </pic:nvPicPr>
                    <pic:blipFill>
                      <a:blip r:embed="rId8"/>
                      <a:srcRect/>
                      <a:stretch>
                        <a:fillRect/>
                      </a:stretch>
                    </pic:blipFill>
                    <pic:spPr bwMode="auto">
                      <a:xfrm>
                        <a:off x="0" y="0"/>
                        <a:ext cx="172720" cy="94615"/>
                      </a:xfrm>
                      <a:prstGeom prst="rect">
                        <a:avLst/>
                      </a:prstGeom>
                      <a:noFill/>
                      <a:ln w="9525">
                        <a:noFill/>
                        <a:miter lim="800000"/>
                        <a:headEnd/>
                        <a:tailEnd/>
                      </a:ln>
                    </pic:spPr>
                  </pic:pic>
                </a:graphicData>
              </a:graphic>
            </wp:inline>
          </w:drawing>
        </w:r>
      </w:hyperlink>
      <w:r w:rsidRPr="00B81FF7">
        <w:rPr>
          <w:rFonts w:hint="eastAsia"/>
        </w:rPr>
        <w:t xml:space="preserve">, </w:t>
      </w:r>
      <w:hyperlink r:id="rId9" w:history="1">
        <w:r w:rsidRPr="00B81FF7">
          <w:rPr>
            <w:rStyle w:val="a3"/>
            <w:rFonts w:hint="eastAsia"/>
          </w:rPr>
          <w:t xml:space="preserve">이민주 </w:t>
        </w:r>
        <w:r w:rsidRPr="00B81FF7">
          <w:rPr>
            <w:rStyle w:val="a3"/>
          </w:rPr>
          <w:drawing>
            <wp:inline distT="0" distB="0" distL="0" distR="0">
              <wp:extent cx="172720" cy="94615"/>
              <wp:effectExtent l="19050" t="0" r="0" b="0"/>
              <wp:docPr id="18" name="그림 18" descr="식별된 저자">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식별된 저자">
                        <a:hlinkClick r:id="rId10"/>
                      </pic:cNvPr>
                      <pic:cNvPicPr>
                        <a:picLocks noChangeAspect="1" noChangeArrowheads="1"/>
                      </pic:cNvPicPr>
                    </pic:nvPicPr>
                    <pic:blipFill>
                      <a:blip r:embed="rId8"/>
                      <a:srcRect/>
                      <a:stretch>
                        <a:fillRect/>
                      </a:stretch>
                    </pic:blipFill>
                    <pic:spPr bwMode="auto">
                      <a:xfrm>
                        <a:off x="0" y="0"/>
                        <a:ext cx="172720" cy="94615"/>
                      </a:xfrm>
                      <a:prstGeom prst="rect">
                        <a:avLst/>
                      </a:prstGeom>
                      <a:noFill/>
                      <a:ln w="9525">
                        <a:noFill/>
                        <a:miter lim="800000"/>
                        <a:headEnd/>
                        <a:tailEnd/>
                      </a:ln>
                    </pic:spPr>
                  </pic:pic>
                </a:graphicData>
              </a:graphic>
            </wp:inline>
          </w:drawing>
        </w:r>
      </w:hyperlink>
    </w:p>
    <w:p w:rsidR="0072119D" w:rsidRDefault="0072119D">
      <w:pPr>
        <w:rPr>
          <w:rFonts w:hint="eastAsia"/>
        </w:rPr>
      </w:pPr>
    </w:p>
    <w:p w:rsidR="00B81FF7" w:rsidRPr="00B81FF7" w:rsidRDefault="00B81FF7" w:rsidP="00B81FF7">
      <w:pPr>
        <w:numPr>
          <w:ilvl w:val="0"/>
          <w:numId w:val="2"/>
        </w:numPr>
        <w:rPr>
          <w:b/>
          <w:bCs/>
        </w:rPr>
      </w:pPr>
      <w:r w:rsidRPr="00B81FF7">
        <w:rPr>
          <w:rFonts w:hint="eastAsia"/>
          <w:b/>
          <w:bCs/>
        </w:rPr>
        <w:t>한국어 초록</w:t>
      </w:r>
    </w:p>
    <w:p w:rsidR="00B81FF7" w:rsidRPr="00B81FF7" w:rsidRDefault="00B81FF7" w:rsidP="00B81FF7">
      <w:pPr>
        <w:numPr>
          <w:ilvl w:val="1"/>
          <w:numId w:val="2"/>
        </w:numPr>
        <w:rPr>
          <w:rFonts w:hint="eastAsia"/>
        </w:rPr>
      </w:pPr>
      <w:r w:rsidRPr="00B81FF7">
        <w:rPr>
          <w:rFonts w:hint="eastAsia"/>
        </w:rPr>
        <w:t xml:space="preserve">  본 연구는 1920년대라는 특정한 시기를 대상으로 일제가 식민지 조선의 언론에 대해 어떠한 구체적 </w:t>
      </w:r>
      <w:proofErr w:type="spellStart"/>
      <w:r w:rsidRPr="00B81FF7">
        <w:rPr>
          <w:rFonts w:hint="eastAsia"/>
        </w:rPr>
        <w:t>법조항을</w:t>
      </w:r>
      <w:proofErr w:type="spellEnd"/>
      <w:r w:rsidRPr="00B81FF7">
        <w:rPr>
          <w:rFonts w:hint="eastAsia"/>
        </w:rPr>
        <w:t xml:space="preserve"> 적용해 통제하려 하였고, 그 실상은 어떠했는가를 ‘문화정치’의 본질과 연관하여 살펴보고자 한다. 이를 위해 1920년대 일제가 언론에 가한 통제의 실상을 </w:t>
      </w:r>
      <w:proofErr w:type="spellStart"/>
      <w:r w:rsidRPr="00B81FF7">
        <w:rPr>
          <w:rFonts w:hint="eastAsia"/>
        </w:rPr>
        <w:t>법조항과</w:t>
      </w:r>
      <w:proofErr w:type="spellEnd"/>
      <w:r w:rsidRPr="00B81FF7">
        <w:rPr>
          <w:rFonts w:hint="eastAsia"/>
        </w:rPr>
        <w:t xml:space="preserve"> 판례, 통계자료, 신문기사 등의 사료를 통해 살펴보았다. 그 결과 일제가 ‘문화정치’의 일환으로 내세운 민족지의 허용이나 언론자유의 확대는 각종 언론관계법이나 내규 등의 규제를 통해 통제되고 있었음을 알 수 있었다. 그 통제의 내용 또한 ‘무단정치’가 횡행하던 1910년대와 다를 것이 없거나 법조항의 추가 강화, 범죄 검거 수의 증가 등으로 판단하건대 오히려 강화되었다고 볼 수 있다. 결론적으로 일제가 내세운 ‘문화정치’란3</w:t>
      </w:r>
      <w:proofErr w:type="spellStart"/>
      <w:r w:rsidRPr="00B81FF7">
        <w:rPr>
          <w:rFonts w:hint="eastAsia"/>
        </w:rPr>
        <w:t>ㆍ</w:t>
      </w:r>
      <w:proofErr w:type="spellEnd"/>
      <w:r w:rsidRPr="00B81FF7">
        <w:rPr>
          <w:rFonts w:hint="eastAsia"/>
        </w:rPr>
        <w:t xml:space="preserve">1운동으로 격화 된 민족감정을 달래는 동시에 독립운동을 탄압함으로써 장기적인 지배체제의 안정화를 달성하기 위한 것으로, 그 표방하는 바와 실상이 다른 기만적인 정책이었다고 할 수 있을 것이다. 본 연구는 1920년대라는 특정한 시기를 대상으로 일제가 언론에 대해 어떠한 구체적 </w:t>
      </w:r>
      <w:proofErr w:type="spellStart"/>
      <w:r w:rsidRPr="00B81FF7">
        <w:rPr>
          <w:rFonts w:hint="eastAsia"/>
        </w:rPr>
        <w:t>법조항을</w:t>
      </w:r>
      <w:proofErr w:type="spellEnd"/>
      <w:r w:rsidRPr="00B81FF7">
        <w:rPr>
          <w:rFonts w:hint="eastAsia"/>
        </w:rPr>
        <w:t xml:space="preserve"> 적용해 통제하려 하였고, 그 실상은 어떠했는가를 제국주의 국가의 식민지배 정책, 즉 ‘문화정치’의 본질과 연관하여 살펴보았다는 점에서 그 의의를 갖는다. 언론이나 출판뿐만 아니라 집회, 결사 등에 관련된 </w:t>
      </w:r>
      <w:proofErr w:type="spellStart"/>
      <w:r w:rsidRPr="00B81FF7">
        <w:rPr>
          <w:rFonts w:hint="eastAsia"/>
        </w:rPr>
        <w:t>법조항을</w:t>
      </w:r>
      <w:proofErr w:type="spellEnd"/>
      <w:r w:rsidRPr="00B81FF7">
        <w:rPr>
          <w:rFonts w:hint="eastAsia"/>
        </w:rPr>
        <w:t xml:space="preserve"> 두루 살펴보고자 하였으며, 일본법과의 비교를 통해 일제의 법률제정 의도를 보다 분명히 드러내고자 하였다 일제시대에 신문이나 출판물에 가해진 행정 처분에 대한 연구는 이루어진 바가 있으나, 구체적인 법의 적용을 범죄 건수, 판례, 신문기사 등을 통해 살펴본 연구가 없다는 점에서도 의의를 찾을 수 있다. </w:t>
      </w:r>
    </w:p>
    <w:p w:rsidR="00B81FF7" w:rsidRPr="00B81FF7" w:rsidRDefault="00B81FF7" w:rsidP="00B81FF7">
      <w:pPr>
        <w:rPr>
          <w:rFonts w:hint="eastAsia"/>
          <w:b/>
          <w:bCs/>
        </w:rPr>
      </w:pPr>
      <w:r w:rsidRPr="00B81FF7">
        <w:rPr>
          <w:rFonts w:hint="eastAsia"/>
          <w:b/>
          <w:bCs/>
        </w:rPr>
        <w:t>영어 초록</w:t>
      </w:r>
    </w:p>
    <w:p w:rsidR="00B81FF7" w:rsidRPr="00B81FF7" w:rsidRDefault="00B81FF7" w:rsidP="00B81FF7">
      <w:pPr>
        <w:numPr>
          <w:ilvl w:val="1"/>
          <w:numId w:val="2"/>
        </w:numPr>
        <w:rPr>
          <w:rFonts w:hint="eastAsia"/>
        </w:rPr>
      </w:pPr>
      <w:r w:rsidRPr="00B81FF7">
        <w:rPr>
          <w:rFonts w:hint="eastAsia"/>
        </w:rPr>
        <w:t xml:space="preserve">  This study aimed at exploring how Japanese ruling authorities tried to control the colonial Korean press in the 1920s by analyzing the specific press-law-related provisions at that time. This study attempted to comprehend the reality and the ways of the press suppression by examining various historical records such as press laws, legal cases and statistical data during this period. </w:t>
      </w:r>
      <w:r w:rsidRPr="00B81FF7">
        <w:rPr>
          <w:rFonts w:hint="eastAsia"/>
        </w:rPr>
        <w:br/>
        <w:t xml:space="preserve">  This study found that the approval of national newspapers or the alleged expansion of press freedom, as part of so-called "Cultural Rule", was controlled completely by press laws or internal guidelines. In fact, the ways Japanese ruling authorities manipulated the colonial press was not essentially different from those of the 1910"s, when "Sword Rule" prevailed. The increasing number of press law clauses and arrests of journalists, suggests that the pressure on the media rather got worse than before. </w:t>
      </w:r>
      <w:r w:rsidRPr="00B81FF7">
        <w:rPr>
          <w:rFonts w:hint="eastAsia"/>
        </w:rPr>
        <w:br/>
        <w:t xml:space="preserve">  Consequently, the "Cultural Rule" that Japanese ruling authorities claimed to </w:t>
      </w:r>
      <w:r w:rsidRPr="00B81FF7">
        <w:rPr>
          <w:rFonts w:hint="eastAsia"/>
        </w:rPr>
        <w:lastRenderedPageBreak/>
        <w:t xml:space="preserve">stand for, was nothing but a deceptive policy, which served the purpose of the long-term stabilization of the colonial system by appeasing </w:t>
      </w:r>
      <w:proofErr w:type="spellStart"/>
      <w:r w:rsidRPr="00B81FF7">
        <w:rPr>
          <w:rFonts w:hint="eastAsia"/>
        </w:rPr>
        <w:t>pubic</w:t>
      </w:r>
      <w:proofErr w:type="spellEnd"/>
      <w:r w:rsidRPr="00B81FF7">
        <w:rPr>
          <w:rFonts w:hint="eastAsia"/>
        </w:rPr>
        <w:t xml:space="preserve"> anger and oppressing the national independence movements. Unlike previous studies on the topic, this study is characterized by an attempt to analyze the Japanese press control through an examination of concrete press law clauses, cases, and their practical application, such as the number of arrests. </w:t>
      </w:r>
    </w:p>
    <w:p w:rsidR="00B81FF7" w:rsidRPr="00B81FF7" w:rsidRDefault="00B81FF7" w:rsidP="00B81FF7">
      <w:pPr>
        <w:numPr>
          <w:ilvl w:val="0"/>
          <w:numId w:val="2"/>
        </w:numPr>
        <w:rPr>
          <w:rFonts w:hint="eastAsia"/>
        </w:rPr>
      </w:pPr>
      <w:r w:rsidRPr="00B81FF7">
        <w:rPr>
          <w:rFonts w:hint="eastAsia"/>
          <w:b/>
          <w:bCs/>
        </w:rPr>
        <w:t>키워드</w:t>
      </w:r>
      <w:r w:rsidRPr="00B81FF7">
        <w:rPr>
          <w:rFonts w:hint="eastAsia"/>
        </w:rPr>
        <w:t xml:space="preserve"> </w:t>
      </w:r>
    </w:p>
    <w:p w:rsidR="00B81FF7" w:rsidRPr="00B81FF7" w:rsidRDefault="00B81FF7" w:rsidP="00B81FF7">
      <w:pPr>
        <w:numPr>
          <w:ilvl w:val="1"/>
          <w:numId w:val="2"/>
        </w:numPr>
        <w:rPr>
          <w:rFonts w:hint="eastAsia"/>
        </w:rPr>
      </w:pPr>
      <w:r w:rsidRPr="00B81FF7">
        <w:rPr>
          <w:rFonts w:hint="eastAsia"/>
        </w:rPr>
        <w:t xml:space="preserve">언론통제, 문화정치, 언론관련법, Press Control, Cultural Rule, Press-related-rules </w:t>
      </w:r>
    </w:p>
    <w:p w:rsidR="00B81FF7" w:rsidRDefault="00B81FF7">
      <w:pPr>
        <w:rPr>
          <w:rFonts w:hint="eastAsia"/>
        </w:rPr>
      </w:pPr>
    </w:p>
    <w:sectPr w:rsidR="00B81FF7" w:rsidSect="0072119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D0017"/>
    <w:multiLevelType w:val="multilevel"/>
    <w:tmpl w:val="33D2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31AD3"/>
    <w:multiLevelType w:val="multilevel"/>
    <w:tmpl w:val="ADBC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81FF7"/>
    <w:rsid w:val="0072119D"/>
    <w:rsid w:val="00B81FF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9D"/>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FF7"/>
    <w:rPr>
      <w:color w:val="0000FF" w:themeColor="hyperlink"/>
      <w:u w:val="single"/>
    </w:rPr>
  </w:style>
  <w:style w:type="paragraph" w:styleId="a4">
    <w:name w:val="Balloon Text"/>
    <w:basedOn w:val="a"/>
    <w:link w:val="Char"/>
    <w:uiPriority w:val="99"/>
    <w:semiHidden/>
    <w:unhideWhenUsed/>
    <w:rsid w:val="00B81FF7"/>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B81FF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9345188">
      <w:bodyDiv w:val="1"/>
      <w:marLeft w:val="0"/>
      <w:marRight w:val="0"/>
      <w:marTop w:val="0"/>
      <w:marBottom w:val="0"/>
      <w:divBdr>
        <w:top w:val="none" w:sz="0" w:space="0" w:color="auto"/>
        <w:left w:val="none" w:sz="0" w:space="0" w:color="auto"/>
        <w:bottom w:val="none" w:sz="0" w:space="0" w:color="auto"/>
        <w:right w:val="none" w:sz="0" w:space="0" w:color="auto"/>
      </w:divBdr>
      <w:divsChild>
        <w:div w:id="448818214">
          <w:marLeft w:val="0"/>
          <w:marRight w:val="0"/>
          <w:marTop w:val="0"/>
          <w:marBottom w:val="0"/>
          <w:divBdr>
            <w:top w:val="none" w:sz="0" w:space="0" w:color="auto"/>
            <w:left w:val="none" w:sz="0" w:space="0" w:color="auto"/>
            <w:bottom w:val="none" w:sz="0" w:space="0" w:color="auto"/>
            <w:right w:val="none" w:sz="0" w:space="0" w:color="auto"/>
          </w:divBdr>
          <w:divsChild>
            <w:div w:id="243145097">
              <w:marLeft w:val="0"/>
              <w:marRight w:val="0"/>
              <w:marTop w:val="0"/>
              <w:marBottom w:val="0"/>
              <w:divBdr>
                <w:top w:val="none" w:sz="0" w:space="0" w:color="auto"/>
                <w:left w:val="none" w:sz="0" w:space="0" w:color="auto"/>
                <w:bottom w:val="none" w:sz="0" w:space="0" w:color="auto"/>
                <w:right w:val="none" w:sz="0" w:space="0" w:color="auto"/>
              </w:divBdr>
              <w:divsChild>
                <w:div w:id="1403747804">
                  <w:marLeft w:val="0"/>
                  <w:marRight w:val="0"/>
                  <w:marTop w:val="122"/>
                  <w:marBottom w:val="0"/>
                  <w:divBdr>
                    <w:top w:val="none" w:sz="0" w:space="0" w:color="auto"/>
                    <w:left w:val="none" w:sz="0" w:space="0" w:color="auto"/>
                    <w:bottom w:val="none" w:sz="0" w:space="0" w:color="auto"/>
                    <w:right w:val="none" w:sz="0" w:space="0" w:color="auto"/>
                  </w:divBdr>
                  <w:divsChild>
                    <w:div w:id="1167288223">
                      <w:marLeft w:val="245"/>
                      <w:marRight w:val="272"/>
                      <w:marTop w:val="204"/>
                      <w:marBottom w:val="0"/>
                      <w:divBdr>
                        <w:top w:val="none" w:sz="0" w:space="0" w:color="auto"/>
                        <w:left w:val="none" w:sz="0" w:space="0" w:color="auto"/>
                        <w:bottom w:val="none" w:sz="0" w:space="0" w:color="auto"/>
                        <w:right w:val="none" w:sz="0" w:space="0" w:color="auto"/>
                      </w:divBdr>
                      <w:divsChild>
                        <w:div w:id="1714041187">
                          <w:marLeft w:val="0"/>
                          <w:marRight w:val="0"/>
                          <w:marTop w:val="136"/>
                          <w:marBottom w:val="0"/>
                          <w:divBdr>
                            <w:top w:val="none" w:sz="0" w:space="0" w:color="auto"/>
                            <w:left w:val="none" w:sz="0" w:space="0" w:color="auto"/>
                            <w:bottom w:val="none" w:sz="0" w:space="0" w:color="auto"/>
                            <w:right w:val="none" w:sz="0" w:space="0" w:color="auto"/>
                          </w:divBdr>
                          <w:divsChild>
                            <w:div w:id="1467775200">
                              <w:marLeft w:val="0"/>
                              <w:marRight w:val="0"/>
                              <w:marTop w:val="68"/>
                              <w:marBottom w:val="68"/>
                              <w:divBdr>
                                <w:top w:val="none" w:sz="0" w:space="0" w:color="auto"/>
                                <w:left w:val="none" w:sz="0" w:space="0" w:color="auto"/>
                                <w:bottom w:val="none" w:sz="0" w:space="0" w:color="auto"/>
                                <w:right w:val="none" w:sz="0" w:space="0" w:color="auto"/>
                              </w:divBdr>
                            </w:div>
                            <w:div w:id="1276861909">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745072">
      <w:bodyDiv w:val="1"/>
      <w:marLeft w:val="0"/>
      <w:marRight w:val="0"/>
      <w:marTop w:val="0"/>
      <w:marBottom w:val="0"/>
      <w:divBdr>
        <w:top w:val="none" w:sz="0" w:space="0" w:color="auto"/>
        <w:left w:val="none" w:sz="0" w:space="0" w:color="auto"/>
        <w:bottom w:val="none" w:sz="0" w:space="0" w:color="auto"/>
        <w:right w:val="none" w:sz="0" w:space="0" w:color="auto"/>
      </w:divBdr>
      <w:divsChild>
        <w:div w:id="1895459765">
          <w:marLeft w:val="0"/>
          <w:marRight w:val="0"/>
          <w:marTop w:val="0"/>
          <w:marBottom w:val="0"/>
          <w:divBdr>
            <w:top w:val="none" w:sz="0" w:space="0" w:color="auto"/>
            <w:left w:val="none" w:sz="0" w:space="0" w:color="auto"/>
            <w:bottom w:val="none" w:sz="0" w:space="0" w:color="auto"/>
            <w:right w:val="none" w:sz="0" w:space="0" w:color="auto"/>
          </w:divBdr>
          <w:divsChild>
            <w:div w:id="1190334905">
              <w:marLeft w:val="0"/>
              <w:marRight w:val="0"/>
              <w:marTop w:val="0"/>
              <w:marBottom w:val="0"/>
              <w:divBdr>
                <w:top w:val="none" w:sz="0" w:space="0" w:color="auto"/>
                <w:left w:val="none" w:sz="0" w:space="0" w:color="auto"/>
                <w:bottom w:val="none" w:sz="0" w:space="0" w:color="auto"/>
                <w:right w:val="none" w:sz="0" w:space="0" w:color="auto"/>
              </w:divBdr>
              <w:divsChild>
                <w:div w:id="1338507756">
                  <w:marLeft w:val="0"/>
                  <w:marRight w:val="0"/>
                  <w:marTop w:val="122"/>
                  <w:marBottom w:val="0"/>
                  <w:divBdr>
                    <w:top w:val="none" w:sz="0" w:space="0" w:color="auto"/>
                    <w:left w:val="none" w:sz="0" w:space="0" w:color="auto"/>
                    <w:bottom w:val="none" w:sz="0" w:space="0" w:color="auto"/>
                    <w:right w:val="none" w:sz="0" w:space="0" w:color="auto"/>
                  </w:divBdr>
                  <w:divsChild>
                    <w:div w:id="2088719681">
                      <w:marLeft w:val="245"/>
                      <w:marRight w:val="272"/>
                      <w:marTop w:val="204"/>
                      <w:marBottom w:val="0"/>
                      <w:divBdr>
                        <w:top w:val="none" w:sz="0" w:space="0" w:color="auto"/>
                        <w:left w:val="none" w:sz="0" w:space="0" w:color="auto"/>
                        <w:bottom w:val="none" w:sz="0" w:space="0" w:color="auto"/>
                        <w:right w:val="none" w:sz="0" w:space="0" w:color="auto"/>
                      </w:divBdr>
                      <w:divsChild>
                        <w:div w:id="779372605">
                          <w:marLeft w:val="0"/>
                          <w:marRight w:val="0"/>
                          <w:marTop w:val="136"/>
                          <w:marBottom w:val="0"/>
                          <w:divBdr>
                            <w:top w:val="none" w:sz="0" w:space="0" w:color="auto"/>
                            <w:left w:val="none" w:sz="0" w:space="0" w:color="auto"/>
                            <w:bottom w:val="none" w:sz="0" w:space="0" w:color="auto"/>
                            <w:right w:val="none" w:sz="0" w:space="0" w:color="auto"/>
                          </w:divBdr>
                          <w:divsChild>
                            <w:div w:id="43138027">
                              <w:marLeft w:val="0"/>
                              <w:marRight w:val="0"/>
                              <w:marTop w:val="68"/>
                              <w:marBottom w:val="68"/>
                              <w:divBdr>
                                <w:top w:val="none" w:sz="0" w:space="0" w:color="auto"/>
                                <w:left w:val="none" w:sz="0" w:space="0" w:color="auto"/>
                                <w:bottom w:val="none" w:sz="0" w:space="0" w:color="auto"/>
                                <w:right w:val="none" w:sz="0" w:space="0" w:color="auto"/>
                              </w:divBdr>
                            </w:div>
                            <w:div w:id="1298754939">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136354">
      <w:bodyDiv w:val="1"/>
      <w:marLeft w:val="0"/>
      <w:marRight w:val="0"/>
      <w:marTop w:val="0"/>
      <w:marBottom w:val="0"/>
      <w:divBdr>
        <w:top w:val="none" w:sz="0" w:space="0" w:color="auto"/>
        <w:left w:val="none" w:sz="0" w:space="0" w:color="auto"/>
        <w:bottom w:val="none" w:sz="0" w:space="0" w:color="auto"/>
        <w:right w:val="none" w:sz="0" w:space="0" w:color="auto"/>
      </w:divBdr>
      <w:divsChild>
        <w:div w:id="1795519063">
          <w:marLeft w:val="0"/>
          <w:marRight w:val="0"/>
          <w:marTop w:val="0"/>
          <w:marBottom w:val="0"/>
          <w:divBdr>
            <w:top w:val="none" w:sz="0" w:space="0" w:color="auto"/>
            <w:left w:val="none" w:sz="0" w:space="0" w:color="auto"/>
            <w:bottom w:val="none" w:sz="0" w:space="0" w:color="auto"/>
            <w:right w:val="none" w:sz="0" w:space="0" w:color="auto"/>
          </w:divBdr>
          <w:divsChild>
            <w:div w:id="240451904">
              <w:marLeft w:val="0"/>
              <w:marRight w:val="0"/>
              <w:marTop w:val="0"/>
              <w:marBottom w:val="0"/>
              <w:divBdr>
                <w:top w:val="none" w:sz="0" w:space="0" w:color="auto"/>
                <w:left w:val="none" w:sz="0" w:space="0" w:color="auto"/>
                <w:bottom w:val="none" w:sz="0" w:space="0" w:color="auto"/>
                <w:right w:val="none" w:sz="0" w:space="0" w:color="auto"/>
              </w:divBdr>
              <w:divsChild>
                <w:div w:id="1191260971">
                  <w:marLeft w:val="0"/>
                  <w:marRight w:val="0"/>
                  <w:marTop w:val="122"/>
                  <w:marBottom w:val="0"/>
                  <w:divBdr>
                    <w:top w:val="none" w:sz="0" w:space="0" w:color="auto"/>
                    <w:left w:val="none" w:sz="0" w:space="0" w:color="auto"/>
                    <w:bottom w:val="none" w:sz="0" w:space="0" w:color="auto"/>
                    <w:right w:val="none" w:sz="0" w:space="0" w:color="auto"/>
                  </w:divBdr>
                  <w:divsChild>
                    <w:div w:id="388769810">
                      <w:marLeft w:val="245"/>
                      <w:marRight w:val="272"/>
                      <w:marTop w:val="204"/>
                      <w:marBottom w:val="0"/>
                      <w:divBdr>
                        <w:top w:val="none" w:sz="0" w:space="0" w:color="auto"/>
                        <w:left w:val="none" w:sz="0" w:space="0" w:color="auto"/>
                        <w:bottom w:val="none" w:sz="0" w:space="0" w:color="auto"/>
                        <w:right w:val="none" w:sz="0" w:space="0" w:color="auto"/>
                      </w:divBdr>
                      <w:divsChild>
                        <w:div w:id="634722206">
                          <w:marLeft w:val="0"/>
                          <w:marRight w:val="0"/>
                          <w:marTop w:val="0"/>
                          <w:marBottom w:val="0"/>
                          <w:divBdr>
                            <w:top w:val="none" w:sz="0" w:space="0" w:color="auto"/>
                            <w:left w:val="none" w:sz="0" w:space="0" w:color="auto"/>
                            <w:bottom w:val="none" w:sz="0" w:space="0" w:color="auto"/>
                            <w:right w:val="none" w:sz="0" w:space="0" w:color="auto"/>
                          </w:divBdr>
                          <w:divsChild>
                            <w:div w:id="20443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52788">
      <w:bodyDiv w:val="1"/>
      <w:marLeft w:val="0"/>
      <w:marRight w:val="0"/>
      <w:marTop w:val="0"/>
      <w:marBottom w:val="0"/>
      <w:divBdr>
        <w:top w:val="none" w:sz="0" w:space="0" w:color="auto"/>
        <w:left w:val="none" w:sz="0" w:space="0" w:color="auto"/>
        <w:bottom w:val="none" w:sz="0" w:space="0" w:color="auto"/>
        <w:right w:val="none" w:sz="0" w:space="0" w:color="auto"/>
      </w:divBdr>
      <w:divsChild>
        <w:div w:id="2118673451">
          <w:marLeft w:val="0"/>
          <w:marRight w:val="0"/>
          <w:marTop w:val="0"/>
          <w:marBottom w:val="0"/>
          <w:divBdr>
            <w:top w:val="none" w:sz="0" w:space="0" w:color="auto"/>
            <w:left w:val="none" w:sz="0" w:space="0" w:color="auto"/>
            <w:bottom w:val="none" w:sz="0" w:space="0" w:color="auto"/>
            <w:right w:val="none" w:sz="0" w:space="0" w:color="auto"/>
          </w:divBdr>
          <w:divsChild>
            <w:div w:id="1194803595">
              <w:marLeft w:val="0"/>
              <w:marRight w:val="0"/>
              <w:marTop w:val="0"/>
              <w:marBottom w:val="0"/>
              <w:divBdr>
                <w:top w:val="none" w:sz="0" w:space="0" w:color="auto"/>
                <w:left w:val="none" w:sz="0" w:space="0" w:color="auto"/>
                <w:bottom w:val="none" w:sz="0" w:space="0" w:color="auto"/>
                <w:right w:val="none" w:sz="0" w:space="0" w:color="auto"/>
              </w:divBdr>
              <w:divsChild>
                <w:div w:id="1919049937">
                  <w:marLeft w:val="0"/>
                  <w:marRight w:val="0"/>
                  <w:marTop w:val="122"/>
                  <w:marBottom w:val="0"/>
                  <w:divBdr>
                    <w:top w:val="none" w:sz="0" w:space="0" w:color="auto"/>
                    <w:left w:val="none" w:sz="0" w:space="0" w:color="auto"/>
                    <w:bottom w:val="none" w:sz="0" w:space="0" w:color="auto"/>
                    <w:right w:val="none" w:sz="0" w:space="0" w:color="auto"/>
                  </w:divBdr>
                  <w:divsChild>
                    <w:div w:id="823159828">
                      <w:marLeft w:val="245"/>
                      <w:marRight w:val="272"/>
                      <w:marTop w:val="204"/>
                      <w:marBottom w:val="0"/>
                      <w:divBdr>
                        <w:top w:val="none" w:sz="0" w:space="0" w:color="auto"/>
                        <w:left w:val="none" w:sz="0" w:space="0" w:color="auto"/>
                        <w:bottom w:val="none" w:sz="0" w:space="0" w:color="auto"/>
                        <w:right w:val="none" w:sz="0" w:space="0" w:color="auto"/>
                      </w:divBdr>
                      <w:divsChild>
                        <w:div w:id="638341434">
                          <w:marLeft w:val="0"/>
                          <w:marRight w:val="0"/>
                          <w:marTop w:val="0"/>
                          <w:marBottom w:val="0"/>
                          <w:divBdr>
                            <w:top w:val="none" w:sz="0" w:space="0" w:color="auto"/>
                            <w:left w:val="none" w:sz="0" w:space="0" w:color="auto"/>
                            <w:bottom w:val="none" w:sz="0" w:space="0" w:color="auto"/>
                            <w:right w:val="none" w:sz="0" w:space="0" w:color="auto"/>
                          </w:divBdr>
                          <w:divsChild>
                            <w:div w:id="1021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javascript:%20goArcPage('',%20'7615',%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goArcPage('',%20'7615',%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javascript:%20goArcPage('',%20'290071',%20'206485');" TargetMode="External"/><Relationship Id="rId4" Type="http://schemas.openxmlformats.org/officeDocument/2006/relationships/webSettings" Target="webSettings.xml"/><Relationship Id="rId9" Type="http://schemas.openxmlformats.org/officeDocument/2006/relationships/hyperlink" Target="JavaScript:%20goArcPage('',%20'290071',%20'20648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2274</Characters>
  <Application>Microsoft Office Word</Application>
  <DocSecurity>0</DocSecurity>
  <Lines>18</Lines>
  <Paragraphs>5</Paragraphs>
  <ScaleCrop>false</ScaleCrop>
  <Company>MyCompany</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2012-07-19T04:30:00Z</dcterms:created>
  <dcterms:modified xsi:type="dcterms:W3CDTF">2012-07-19T04:41:00Z</dcterms:modified>
</cp:coreProperties>
</file>